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6745" w14:textId="4E9D6E8C" w:rsidR="00E53D1F" w:rsidRPr="00F45E5D" w:rsidRDefault="00AF3261" w:rsidP="00AF3261">
      <w:pPr>
        <w:spacing w:after="0"/>
        <w:rPr>
          <w:rFonts w:ascii="Gt america" w:hAnsi="Gt america"/>
          <w:b/>
          <w:bCs/>
          <w:color w:val="365F91" w:themeColor="accent1" w:themeShade="BF"/>
        </w:rPr>
      </w:pPr>
      <w:r w:rsidRPr="00F45E5D">
        <w:rPr>
          <w:rFonts w:ascii="Gt america" w:hAnsi="Gt america"/>
          <w:b/>
          <w:bCs/>
          <w:color w:val="365F91" w:themeColor="accent1" w:themeShade="BF"/>
        </w:rPr>
        <w:t>2022 Curriculum Changes</w:t>
      </w:r>
    </w:p>
    <w:p w14:paraId="08A6C3A9" w14:textId="54DEC6A6" w:rsidR="00AF3261" w:rsidRPr="00F45E5D" w:rsidRDefault="00AF3261" w:rsidP="00AF3261">
      <w:pPr>
        <w:spacing w:after="0"/>
        <w:rPr>
          <w:rFonts w:ascii="Gt america" w:hAnsi="Gt america"/>
          <w:color w:val="365F91" w:themeColor="accent1" w:themeShade="BF"/>
        </w:rPr>
      </w:pPr>
    </w:p>
    <w:p w14:paraId="41171475" w14:textId="1E5AECC9" w:rsidR="00AF3261" w:rsidRPr="00F45E5D" w:rsidRDefault="00AF3261" w:rsidP="00AF3261">
      <w:pPr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color w:val="365F91" w:themeColor="accent1" w:themeShade="BF"/>
        </w:rPr>
        <w:t xml:space="preserve">The Curriculum Committee approved the following changes to the curriculum. These changes will go into effect beginning at 2023 </w:t>
      </w:r>
      <w:r w:rsidR="00E851A3" w:rsidRPr="00F45E5D">
        <w:rPr>
          <w:rFonts w:ascii="Gt america" w:hAnsi="Gt america"/>
          <w:color w:val="365F91" w:themeColor="accent1" w:themeShade="BF"/>
        </w:rPr>
        <w:t>Summer</w:t>
      </w:r>
      <w:r w:rsidRPr="00F45E5D">
        <w:rPr>
          <w:rFonts w:ascii="Gt america" w:hAnsi="Gt america"/>
          <w:color w:val="365F91" w:themeColor="accent1" w:themeShade="BF"/>
        </w:rPr>
        <w:t xml:space="preserve"> Institute</w:t>
      </w:r>
      <w:r w:rsidR="00E851A3" w:rsidRPr="00F45E5D">
        <w:rPr>
          <w:rFonts w:ascii="Gt america" w:hAnsi="Gt america"/>
          <w:color w:val="365F91" w:themeColor="accent1" w:themeShade="BF"/>
        </w:rPr>
        <w:t xml:space="preserve"> sites</w:t>
      </w:r>
      <w:r w:rsidR="00EB0759" w:rsidRPr="00F45E5D">
        <w:rPr>
          <w:rFonts w:ascii="Gt america" w:hAnsi="Gt america"/>
          <w:color w:val="365F91" w:themeColor="accent1" w:themeShade="BF"/>
        </w:rPr>
        <w:t xml:space="preserve">. </w:t>
      </w:r>
      <w:r w:rsidRPr="00F45E5D">
        <w:rPr>
          <w:rFonts w:ascii="Gt america" w:hAnsi="Gt america"/>
          <w:color w:val="365F91" w:themeColor="accent1" w:themeShade="BF"/>
        </w:rPr>
        <w:t>All approved changes will be reflected in the 2023 syllabus.</w:t>
      </w:r>
    </w:p>
    <w:p w14:paraId="016CAF77" w14:textId="77777777" w:rsidR="007608BC" w:rsidRPr="00F45E5D" w:rsidRDefault="004F69A5" w:rsidP="007608BC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b/>
          <w:bCs/>
          <w:color w:val="365F91" w:themeColor="accent1" w:themeShade="BF"/>
        </w:rPr>
        <w:t>C250 Customer Service Inside and Out</w:t>
      </w:r>
      <w:r w:rsidR="00AF3261" w:rsidRPr="00F45E5D">
        <w:rPr>
          <w:rFonts w:ascii="Gt america" w:hAnsi="Gt america"/>
          <w:b/>
          <w:bCs/>
          <w:color w:val="365F91" w:themeColor="accent1" w:themeShade="BF"/>
        </w:rPr>
        <w:br/>
      </w:r>
      <w:r w:rsidR="00AF3261" w:rsidRPr="00F45E5D">
        <w:rPr>
          <w:rFonts w:ascii="Gt america" w:hAnsi="Gt america"/>
          <w:i/>
          <w:iCs/>
          <w:color w:val="365F91" w:themeColor="accent1" w:themeShade="BF"/>
        </w:rPr>
        <w:t>Changes</w:t>
      </w:r>
      <w:r w:rsidR="00AF3261" w:rsidRPr="00F45E5D">
        <w:rPr>
          <w:rFonts w:ascii="Gt america" w:hAnsi="Gt america"/>
          <w:b/>
          <w:bCs/>
          <w:i/>
          <w:iCs/>
          <w:color w:val="365F91" w:themeColor="accent1" w:themeShade="BF"/>
        </w:rPr>
        <w:t xml:space="preserve">: </w:t>
      </w:r>
      <w:r w:rsidR="00E851A3" w:rsidRPr="00F45E5D">
        <w:rPr>
          <w:rFonts w:ascii="Gt america" w:hAnsi="Gt america"/>
          <w:color w:val="365F91" w:themeColor="accent1" w:themeShade="BF"/>
        </w:rPr>
        <w:t>Eliminate the course C250 Customer Service Inside and Out</w:t>
      </w:r>
      <w:r w:rsidR="007608BC" w:rsidRPr="00F45E5D">
        <w:rPr>
          <w:rFonts w:ascii="Gt america" w:hAnsi="Gt america"/>
          <w:color w:val="365F91" w:themeColor="accent1" w:themeShade="BF"/>
        </w:rPr>
        <w:t xml:space="preserve">. </w:t>
      </w:r>
    </w:p>
    <w:p w14:paraId="0FE252C5" w14:textId="753328CC" w:rsidR="004F69A5" w:rsidRPr="00F45E5D" w:rsidRDefault="007608BC" w:rsidP="007608BC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>Objective Change</w:t>
      </w:r>
      <w:r w:rsidRPr="00F45E5D">
        <w:rPr>
          <w:rFonts w:ascii="Gt america" w:hAnsi="Gt america"/>
          <w:color w:val="365F91" w:themeColor="accent1" w:themeShade="BF"/>
        </w:rPr>
        <w:t>: I</w:t>
      </w:r>
      <w:r w:rsidR="00E851A3" w:rsidRPr="00F45E5D">
        <w:rPr>
          <w:rFonts w:ascii="Gt america" w:hAnsi="Gt america"/>
          <w:color w:val="365F91" w:themeColor="accent1" w:themeShade="BF"/>
        </w:rPr>
        <w:t xml:space="preserve">ncorporate objectives into existing courses C185 Recruit, Engage, and Retain Your Members and E380 Delivering Value. </w:t>
      </w:r>
    </w:p>
    <w:p w14:paraId="46B10389" w14:textId="33E15C21" w:rsidR="00EB0759" w:rsidRPr="00F45E5D" w:rsidRDefault="00EB0759" w:rsidP="007608BC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color w:val="365F91" w:themeColor="accent1" w:themeShade="BF"/>
        </w:rPr>
        <w:t xml:space="preserve">Staff will expand upon course objective reallocation and share with Curriculum Committee to be discussed and approved in Spring 2023 meeting. </w:t>
      </w:r>
    </w:p>
    <w:p w14:paraId="18253C3C" w14:textId="1D955AAB" w:rsidR="00E851A3" w:rsidRPr="00F45E5D" w:rsidRDefault="00E851A3" w:rsidP="00E851A3">
      <w:pPr>
        <w:pStyle w:val="HeadingThree"/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</w:pPr>
    </w:p>
    <w:p w14:paraId="58E19BAE" w14:textId="1E3CA8D2" w:rsidR="00E851A3" w:rsidRPr="00F45E5D" w:rsidRDefault="00E851A3" w:rsidP="00E851A3">
      <w:pPr>
        <w:pStyle w:val="HeadingThree"/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</w:pPr>
      <w:r w:rsidRPr="00F45E5D"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  <w:t>E340 501 (c)(3) Foundations Management</w:t>
      </w:r>
    </w:p>
    <w:p w14:paraId="49092EBA" w14:textId="77777777" w:rsidR="007608BC" w:rsidRPr="00F45E5D" w:rsidRDefault="00E851A3" w:rsidP="007608BC">
      <w:pPr>
        <w:spacing w:after="0"/>
        <w:rPr>
          <w:rFonts w:ascii="Gt america" w:hAnsi="Gt america"/>
          <w:bCs/>
          <w:color w:val="365F91" w:themeColor="accent1" w:themeShade="BF"/>
        </w:rPr>
      </w:pPr>
      <w:r w:rsidRPr="00F45E5D">
        <w:rPr>
          <w:rFonts w:ascii="Gt america" w:hAnsi="Gt america"/>
          <w:bCs/>
          <w:i/>
          <w:iCs/>
          <w:color w:val="365F91" w:themeColor="accent1" w:themeShade="BF"/>
        </w:rPr>
        <w:t xml:space="preserve">Changes: </w:t>
      </w:r>
      <w:r w:rsidRPr="00F45E5D">
        <w:rPr>
          <w:rFonts w:ascii="Gt america" w:hAnsi="Gt america"/>
          <w:bCs/>
          <w:color w:val="365F91" w:themeColor="accent1" w:themeShade="BF"/>
        </w:rPr>
        <w:t xml:space="preserve">Move the class from an elective to become a core class. </w:t>
      </w:r>
    </w:p>
    <w:p w14:paraId="23114018" w14:textId="2D32A849" w:rsidR="007608BC" w:rsidRPr="00F45E5D" w:rsidRDefault="007608BC" w:rsidP="007608BC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 xml:space="preserve">Title Change: </w:t>
      </w:r>
      <w:r w:rsidRPr="00F45E5D">
        <w:rPr>
          <w:rFonts w:ascii="Gt america" w:hAnsi="Gt america"/>
          <w:color w:val="365F91" w:themeColor="accent1" w:themeShade="BF"/>
        </w:rPr>
        <w:t xml:space="preserve">The title of the course has been changed </w:t>
      </w:r>
      <w:r w:rsidR="00E851A3" w:rsidRPr="00F45E5D">
        <w:rPr>
          <w:rFonts w:ascii="Gt america" w:hAnsi="Gt america"/>
          <w:color w:val="365F91" w:themeColor="accent1" w:themeShade="BF"/>
        </w:rPr>
        <w:t>from “E340 501 (c)(3) Foundations Management” to “C240 Foundations</w:t>
      </w:r>
      <w:r w:rsidRPr="00F45E5D">
        <w:rPr>
          <w:rFonts w:ascii="Gt america" w:hAnsi="Gt america"/>
          <w:color w:val="365F91" w:themeColor="accent1" w:themeShade="BF"/>
        </w:rPr>
        <w:t>” to better convey the new objectives.</w:t>
      </w:r>
      <w:r w:rsidRPr="00F45E5D">
        <w:rPr>
          <w:rFonts w:ascii="Gt america" w:hAnsi="Gt america"/>
          <w:color w:val="365F91" w:themeColor="accent1" w:themeShade="BF"/>
        </w:rPr>
        <w:br/>
      </w:r>
      <w:r w:rsidRPr="00F45E5D">
        <w:rPr>
          <w:rFonts w:ascii="Gt america" w:hAnsi="Gt america"/>
          <w:i/>
          <w:color w:val="365F91" w:themeColor="accent1" w:themeShade="BF"/>
        </w:rPr>
        <w:t xml:space="preserve">Course Description: </w:t>
      </w:r>
      <w:r w:rsidRPr="00F45E5D">
        <w:rPr>
          <w:rFonts w:ascii="Gt america" w:hAnsi="Gt america"/>
          <w:color w:val="365F91" w:themeColor="accent1" w:themeShade="BF"/>
        </w:rPr>
        <w:t xml:space="preserve">The course description was changed by the committee to </w:t>
      </w:r>
      <w:r w:rsidR="00EB0759" w:rsidRPr="00F45E5D">
        <w:rPr>
          <w:rFonts w:ascii="Gt america" w:hAnsi="Gt america"/>
          <w:color w:val="365F91" w:themeColor="accent1" w:themeShade="BF"/>
        </w:rPr>
        <w:t>the following:</w:t>
      </w:r>
    </w:p>
    <w:p w14:paraId="72578BDE" w14:textId="1F2D85D5" w:rsidR="007608BC" w:rsidRPr="00F45E5D" w:rsidRDefault="007608BC" w:rsidP="008B7669">
      <w:pPr>
        <w:pStyle w:val="ListParagraph"/>
        <w:numPr>
          <w:ilvl w:val="0"/>
          <w:numId w:val="45"/>
        </w:num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color w:val="365F91" w:themeColor="accent1" w:themeShade="BF"/>
        </w:rPr>
        <w:t xml:space="preserve">Explore strategic approaches needed for a Foundation to align its focus and output with its purpose and vision. </w:t>
      </w:r>
      <w:r w:rsidR="005800C0" w:rsidRPr="00F45E5D">
        <w:rPr>
          <w:rFonts w:ascii="Gt america" w:eastAsia="Times New Roman" w:hAnsi="Gt america"/>
          <w:color w:val="365F91" w:themeColor="accent1" w:themeShade="BF"/>
        </w:rPr>
        <w:t xml:space="preserve">This course is designed for anyone wanting to create, effectively operate, or leverage a </w:t>
      </w:r>
      <w:proofErr w:type="spellStart"/>
      <w:proofErr w:type="gramStart"/>
      <w:r w:rsidR="005800C0" w:rsidRPr="00F45E5D">
        <w:rPr>
          <w:rFonts w:ascii="Gt america" w:eastAsia="Times New Roman" w:hAnsi="Gt america"/>
          <w:color w:val="365F91" w:themeColor="accent1" w:themeShade="BF"/>
        </w:rPr>
        <w:t>foundation.</w:t>
      </w:r>
      <w:r w:rsidRPr="00F45E5D">
        <w:rPr>
          <w:rFonts w:ascii="Gt america" w:hAnsi="Gt america"/>
          <w:color w:val="365F91" w:themeColor="accent1" w:themeShade="BF"/>
        </w:rPr>
        <w:t>Learn</w:t>
      </w:r>
      <w:proofErr w:type="spellEnd"/>
      <w:proofErr w:type="gramEnd"/>
      <w:r w:rsidRPr="00F45E5D">
        <w:rPr>
          <w:rFonts w:ascii="Gt america" w:hAnsi="Gt america"/>
          <w:color w:val="365F91" w:themeColor="accent1" w:themeShade="BF"/>
        </w:rPr>
        <w:t xml:space="preserve"> the technical infrastructure needed to align with IRS governance and compliance, as well as accounting and audit rules impacted by received restricted funds from contributions and grants. </w:t>
      </w:r>
    </w:p>
    <w:p w14:paraId="6FB3308B" w14:textId="2B8CC0F3" w:rsidR="00053AE5" w:rsidRPr="00F45E5D" w:rsidRDefault="00053AE5" w:rsidP="00053AE5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 xml:space="preserve">Objective Change: </w:t>
      </w:r>
      <w:r w:rsidRPr="00F45E5D">
        <w:rPr>
          <w:rFonts w:ascii="Gt america" w:hAnsi="Gt america"/>
          <w:color w:val="365F91" w:themeColor="accent1" w:themeShade="BF"/>
        </w:rPr>
        <w:t>The first course objective is now “</w:t>
      </w:r>
      <w:r w:rsidR="009D39C4" w:rsidRPr="00F45E5D">
        <w:rPr>
          <w:rFonts w:ascii="Gt america" w:hAnsi="Gt america"/>
          <w:color w:val="365F91" w:themeColor="accent1" w:themeShade="BF"/>
        </w:rPr>
        <w:t>Determining how and wh</w:t>
      </w:r>
      <w:r w:rsidRPr="00F45E5D">
        <w:rPr>
          <w:rFonts w:ascii="Gt america" w:hAnsi="Gt america"/>
          <w:color w:val="365F91" w:themeColor="accent1" w:themeShade="BF"/>
        </w:rPr>
        <w:t xml:space="preserve">y </w:t>
      </w:r>
      <w:r w:rsidR="009D39C4" w:rsidRPr="00F45E5D">
        <w:rPr>
          <w:rFonts w:ascii="Gt america" w:hAnsi="Gt america"/>
          <w:color w:val="365F91" w:themeColor="accent1" w:themeShade="BF"/>
        </w:rPr>
        <w:t xml:space="preserve">to start </w:t>
      </w:r>
      <w:r w:rsidRPr="00F45E5D">
        <w:rPr>
          <w:rFonts w:ascii="Gt america" w:hAnsi="Gt america"/>
          <w:color w:val="365F91" w:themeColor="accent1" w:themeShade="BF"/>
        </w:rPr>
        <w:t>a Foundation</w:t>
      </w:r>
      <w:r w:rsidR="009D39C4" w:rsidRPr="00F45E5D">
        <w:rPr>
          <w:rFonts w:ascii="Gt america" w:hAnsi="Gt america"/>
          <w:color w:val="365F91" w:themeColor="accent1" w:themeShade="BF"/>
        </w:rPr>
        <w:t>.</w:t>
      </w:r>
      <w:r w:rsidRPr="00F45E5D">
        <w:rPr>
          <w:rFonts w:ascii="Gt america" w:hAnsi="Gt america"/>
          <w:color w:val="365F91" w:themeColor="accent1" w:themeShade="BF"/>
        </w:rPr>
        <w:t>” The percentage has changed to 20%.</w:t>
      </w:r>
    </w:p>
    <w:p w14:paraId="3D3F5A83" w14:textId="3494C77F" w:rsidR="00053AE5" w:rsidRPr="00F45E5D" w:rsidRDefault="00053AE5" w:rsidP="00053AE5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 xml:space="preserve">Objective Change: </w:t>
      </w:r>
      <w:r w:rsidRPr="00F45E5D">
        <w:rPr>
          <w:rFonts w:ascii="Gt america" w:hAnsi="Gt america"/>
          <w:color w:val="365F91" w:themeColor="accent1" w:themeShade="BF"/>
        </w:rPr>
        <w:t>The second course objective combines the previous first and third objectives to now be “Creating the strategic alignment and develop</w:t>
      </w:r>
      <w:r w:rsidR="009D39C4" w:rsidRPr="00F45E5D">
        <w:rPr>
          <w:rFonts w:ascii="Gt america" w:hAnsi="Gt america"/>
          <w:color w:val="365F91" w:themeColor="accent1" w:themeShade="BF"/>
        </w:rPr>
        <w:t>ing</w:t>
      </w:r>
      <w:r w:rsidRPr="00F45E5D">
        <w:rPr>
          <w:rFonts w:ascii="Gt america" w:hAnsi="Gt america"/>
          <w:color w:val="365F91" w:themeColor="accent1" w:themeShade="BF"/>
        </w:rPr>
        <w:t xml:space="preserve"> the programmatic alignment for a Foundation.” The percentage has changed to 40%.</w:t>
      </w:r>
    </w:p>
    <w:p w14:paraId="5B36FEED" w14:textId="5B6C31D2" w:rsidR="00053AE5" w:rsidRPr="00F45E5D" w:rsidRDefault="00053AE5" w:rsidP="00053AE5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 xml:space="preserve">Objective Change: </w:t>
      </w:r>
      <w:r w:rsidR="009D39C4" w:rsidRPr="00F45E5D">
        <w:rPr>
          <w:rFonts w:ascii="Gt america" w:hAnsi="Gt america"/>
          <w:color w:val="365F91" w:themeColor="accent1" w:themeShade="BF"/>
        </w:rPr>
        <w:t xml:space="preserve">Course objective number two is now course objective number three and is now </w:t>
      </w:r>
      <w:r w:rsidRPr="00F45E5D">
        <w:rPr>
          <w:rFonts w:ascii="Gt america" w:hAnsi="Gt america"/>
          <w:color w:val="365F91" w:themeColor="accent1" w:themeShade="BF"/>
        </w:rPr>
        <w:t>“Understanding the resource alignment for a Foundation.” The percentage remains at 40%.</w:t>
      </w:r>
    </w:p>
    <w:p w14:paraId="522C92B1" w14:textId="2F681AC7" w:rsidR="00053AE5" w:rsidRPr="00F45E5D" w:rsidRDefault="00053AE5" w:rsidP="00053AE5">
      <w:pPr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 xml:space="preserve">Faculty recommendation: </w:t>
      </w:r>
      <w:r w:rsidRPr="00F45E5D">
        <w:rPr>
          <w:rFonts w:ascii="Gt america" w:hAnsi="Gt america"/>
          <w:iCs/>
          <w:color w:val="365F91" w:themeColor="accent1" w:themeShade="BF"/>
        </w:rPr>
        <w:t>Faculty</w:t>
      </w:r>
      <w:r w:rsidRPr="00F45E5D">
        <w:rPr>
          <w:rFonts w:ascii="Gt america" w:hAnsi="Gt america"/>
          <w:i/>
          <w:color w:val="365F91" w:themeColor="accent1" w:themeShade="BF"/>
        </w:rPr>
        <w:t xml:space="preserve"> </w:t>
      </w:r>
      <w:r w:rsidRPr="00F45E5D">
        <w:rPr>
          <w:rFonts w:ascii="Gt america" w:hAnsi="Gt america"/>
          <w:color w:val="365F91" w:themeColor="accent1" w:themeShade="BF"/>
        </w:rPr>
        <w:t xml:space="preserve">member that is a current Foundation leader recommended to teach this course. </w:t>
      </w:r>
    </w:p>
    <w:p w14:paraId="79B58BCE" w14:textId="43F69DC2" w:rsidR="00593F6B" w:rsidRPr="00F45E5D" w:rsidRDefault="00C23576" w:rsidP="00AF3261">
      <w:pPr>
        <w:pStyle w:val="HeadingThree"/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</w:pPr>
      <w:r w:rsidRPr="00F45E5D"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  <w:t>C125 Hiring, Firing, and Everything in Between</w:t>
      </w:r>
    </w:p>
    <w:p w14:paraId="1ACBB0EE" w14:textId="3ECEC276" w:rsidR="005608E7" w:rsidRPr="00F45E5D" w:rsidRDefault="00413278" w:rsidP="005608E7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>Sub-bullet Change:</w:t>
      </w:r>
      <w:r w:rsidR="005608E7" w:rsidRPr="00F45E5D">
        <w:rPr>
          <w:rFonts w:ascii="Gt america" w:hAnsi="Gt america"/>
          <w:i/>
          <w:color w:val="365F91" w:themeColor="accent1" w:themeShade="BF"/>
        </w:rPr>
        <w:t xml:space="preserve"> </w:t>
      </w:r>
      <w:r w:rsidR="005608E7" w:rsidRPr="00F45E5D">
        <w:rPr>
          <w:rFonts w:ascii="Gt america" w:hAnsi="Gt america"/>
          <w:color w:val="365F91" w:themeColor="accent1" w:themeShade="BF"/>
        </w:rPr>
        <w:t>The first course objective, third sub-bullet is now “Orientation procedures and onboarding.”</w:t>
      </w:r>
    </w:p>
    <w:p w14:paraId="337B850B" w14:textId="3A5D04FE" w:rsidR="005608E7" w:rsidRPr="00F45E5D" w:rsidRDefault="005608E7" w:rsidP="005608E7">
      <w:pPr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>Additional Learning Opportunities</w:t>
      </w:r>
      <w:r w:rsidRPr="00F45E5D">
        <w:rPr>
          <w:rFonts w:ascii="Gt america" w:hAnsi="Gt america"/>
          <w:color w:val="365F91" w:themeColor="accent1" w:themeShade="BF"/>
        </w:rPr>
        <w:t xml:space="preserve">: E120 Executive Law was added to reference for in-depth attendee questions regarding firing employees. </w:t>
      </w:r>
    </w:p>
    <w:p w14:paraId="38ABC225" w14:textId="31D001BE" w:rsidR="008E7C9A" w:rsidRPr="00F45E5D" w:rsidRDefault="00875A6F" w:rsidP="00AF3261">
      <w:pPr>
        <w:pStyle w:val="HeadingThree"/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</w:pPr>
      <w:r w:rsidRPr="00F45E5D"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  <w:t>C185 Recruit, Engage, and Retain Your Members</w:t>
      </w:r>
    </w:p>
    <w:p w14:paraId="3B52D6AB" w14:textId="3E364016" w:rsidR="008C341D" w:rsidRPr="00F45E5D" w:rsidRDefault="00413278" w:rsidP="00413278">
      <w:pPr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 xml:space="preserve">Faculty recommendation: </w:t>
      </w:r>
      <w:r w:rsidRPr="00F45E5D">
        <w:rPr>
          <w:rFonts w:ascii="Gt america" w:hAnsi="Gt america"/>
          <w:iCs/>
          <w:color w:val="365F91" w:themeColor="accent1" w:themeShade="BF"/>
        </w:rPr>
        <w:t>Faculty</w:t>
      </w:r>
      <w:r w:rsidRPr="00F45E5D">
        <w:rPr>
          <w:rFonts w:ascii="Gt america" w:hAnsi="Gt america"/>
          <w:i/>
          <w:color w:val="365F91" w:themeColor="accent1" w:themeShade="BF"/>
        </w:rPr>
        <w:t xml:space="preserve"> </w:t>
      </w:r>
      <w:r w:rsidRPr="00F45E5D">
        <w:rPr>
          <w:rFonts w:ascii="Gt america" w:hAnsi="Gt america"/>
          <w:color w:val="365F91" w:themeColor="accent1" w:themeShade="BF"/>
        </w:rPr>
        <w:t xml:space="preserve">member with Association background recommended to teach this course. </w:t>
      </w:r>
    </w:p>
    <w:p w14:paraId="1303D09E" w14:textId="1189084E" w:rsidR="008E7C9A" w:rsidRPr="00F45E5D" w:rsidRDefault="00C23576" w:rsidP="008C341D">
      <w:pPr>
        <w:pStyle w:val="HeadingThree"/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</w:pPr>
      <w:r w:rsidRPr="00F45E5D"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  <w:t>C261 Events: Strategy and Operations</w:t>
      </w:r>
    </w:p>
    <w:p w14:paraId="3489B015" w14:textId="2B107CE5" w:rsidR="00413278" w:rsidRPr="00F45E5D" w:rsidRDefault="00413278" w:rsidP="00413278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>Sub-bullet Change</w:t>
      </w:r>
      <w:r w:rsidRPr="00F45E5D">
        <w:rPr>
          <w:rFonts w:ascii="Gt america" w:hAnsi="Gt america"/>
          <w:color w:val="365F91" w:themeColor="accent1" w:themeShade="BF"/>
        </w:rPr>
        <w:t xml:space="preserve">: The second course objective, third bullet-point is now, “Pricing development based on total costs including staff and overhead, </w:t>
      </w:r>
      <w:r w:rsidR="005800C0" w:rsidRPr="00F45E5D">
        <w:rPr>
          <w:rFonts w:ascii="Gt america" w:eastAsia="Times New Roman" w:hAnsi="Gt america"/>
          <w:color w:val="365F91" w:themeColor="accent1" w:themeShade="BF"/>
        </w:rPr>
        <w:t>willingness of attendees to pay</w:t>
      </w:r>
      <w:r w:rsidRPr="00F45E5D">
        <w:rPr>
          <w:rFonts w:ascii="Gt america" w:hAnsi="Gt america"/>
          <w:color w:val="365F91" w:themeColor="accent1" w:themeShade="BF"/>
        </w:rPr>
        <w:t>, demand, and format.”</w:t>
      </w:r>
    </w:p>
    <w:p w14:paraId="78F0AA1C" w14:textId="7527B502" w:rsidR="00413278" w:rsidRPr="00F45E5D" w:rsidRDefault="00413278" w:rsidP="00413278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lastRenderedPageBreak/>
        <w:t>Sub-bullet Change</w:t>
      </w:r>
      <w:r w:rsidRPr="00F45E5D">
        <w:rPr>
          <w:rFonts w:ascii="Gt america" w:hAnsi="Gt america"/>
          <w:color w:val="365F91" w:themeColor="accent1" w:themeShade="BF"/>
        </w:rPr>
        <w:t xml:space="preserve">: The second course objective, third bullet-point was added to be, “Types of Events: Virtual, hybrid, webinar, Annual Meeting, Trade Shows.” </w:t>
      </w:r>
    </w:p>
    <w:p w14:paraId="3D2FD6D5" w14:textId="3423A6CE" w:rsidR="00413278" w:rsidRPr="00F45E5D" w:rsidRDefault="00413278" w:rsidP="00413278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>Sub-bullet Change</w:t>
      </w:r>
      <w:r w:rsidRPr="00F45E5D">
        <w:rPr>
          <w:rFonts w:ascii="Gt america" w:hAnsi="Gt america"/>
          <w:color w:val="365F91" w:themeColor="accent1" w:themeShade="BF"/>
        </w:rPr>
        <w:t xml:space="preserve">: The third course objective, fifth bullet-point was added to be, “Event inclusivity, including accessibility and equity in speakers.”  </w:t>
      </w:r>
    </w:p>
    <w:p w14:paraId="56C30F11" w14:textId="228C7277" w:rsidR="00413278" w:rsidRPr="00F45E5D" w:rsidRDefault="00413278" w:rsidP="00413278">
      <w:pPr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 xml:space="preserve">Faculty recommendation: </w:t>
      </w:r>
      <w:r w:rsidRPr="00F45E5D">
        <w:rPr>
          <w:rFonts w:ascii="Gt america" w:hAnsi="Gt america"/>
          <w:iCs/>
          <w:color w:val="365F91" w:themeColor="accent1" w:themeShade="BF"/>
        </w:rPr>
        <w:t>Faculty</w:t>
      </w:r>
      <w:r w:rsidRPr="00F45E5D">
        <w:rPr>
          <w:rFonts w:ascii="Gt america" w:hAnsi="Gt america"/>
          <w:i/>
          <w:color w:val="365F91" w:themeColor="accent1" w:themeShade="BF"/>
        </w:rPr>
        <w:t xml:space="preserve"> </w:t>
      </w:r>
      <w:r w:rsidRPr="00F45E5D">
        <w:rPr>
          <w:rFonts w:ascii="Gt america" w:hAnsi="Gt america"/>
          <w:color w:val="365F91" w:themeColor="accent1" w:themeShade="BF"/>
        </w:rPr>
        <w:t xml:space="preserve">member with Association background recommended to teach this course. </w:t>
      </w:r>
    </w:p>
    <w:p w14:paraId="3EE04816" w14:textId="34175653" w:rsidR="008E7C9A" w:rsidRPr="00F45E5D" w:rsidRDefault="00C23576" w:rsidP="008C341D">
      <w:pPr>
        <w:pStyle w:val="HeadingThree"/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</w:pPr>
      <w:r w:rsidRPr="00F45E5D"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  <w:t>C130 Diversity, Equity, and Inclusion</w:t>
      </w:r>
    </w:p>
    <w:p w14:paraId="2D4F43E8" w14:textId="566F9167" w:rsidR="008C341D" w:rsidRPr="00F45E5D" w:rsidRDefault="00413278" w:rsidP="008C341D">
      <w:pPr>
        <w:spacing w:after="0" w:line="240" w:lineRule="auto"/>
        <w:rPr>
          <w:rFonts w:ascii="Gt america" w:hAnsi="Gt america"/>
          <w:bCs/>
          <w:i/>
          <w:iCs/>
          <w:color w:val="365F91" w:themeColor="accent1" w:themeShade="BF"/>
        </w:rPr>
      </w:pPr>
      <w:r w:rsidRPr="00F45E5D">
        <w:rPr>
          <w:rFonts w:ascii="Gt america" w:hAnsi="Gt america"/>
          <w:bCs/>
          <w:i/>
          <w:iCs/>
          <w:color w:val="365F91" w:themeColor="accent1" w:themeShade="BF"/>
        </w:rPr>
        <w:t>Update</w:t>
      </w:r>
      <w:r w:rsidR="008C341D" w:rsidRPr="00F45E5D">
        <w:rPr>
          <w:rFonts w:ascii="Gt america" w:hAnsi="Gt america"/>
          <w:bCs/>
          <w:i/>
          <w:iCs/>
          <w:color w:val="365F91" w:themeColor="accent1" w:themeShade="BF"/>
        </w:rPr>
        <w:t xml:space="preserve">: </w:t>
      </w:r>
      <w:r w:rsidRPr="00F45E5D">
        <w:rPr>
          <w:rFonts w:ascii="Gt america" w:hAnsi="Gt america"/>
          <w:bCs/>
          <w:i/>
          <w:iCs/>
          <w:color w:val="365F91" w:themeColor="accent1" w:themeShade="BF"/>
        </w:rPr>
        <w:t xml:space="preserve">Request Faculty with DEI credentials to review the course curriculum to ensure relevancy. </w:t>
      </w:r>
    </w:p>
    <w:p w14:paraId="43E0F1AE" w14:textId="72E8FD77" w:rsidR="00413278" w:rsidRPr="00F45E5D" w:rsidRDefault="00413278" w:rsidP="008C341D">
      <w:pPr>
        <w:spacing w:after="0" w:line="240" w:lineRule="auto"/>
        <w:rPr>
          <w:rFonts w:ascii="Gt america" w:hAnsi="Gt america"/>
          <w:bCs/>
          <w:i/>
          <w:iCs/>
          <w:color w:val="365F91" w:themeColor="accent1" w:themeShade="BF"/>
        </w:rPr>
      </w:pPr>
      <w:r w:rsidRPr="00F45E5D">
        <w:rPr>
          <w:rFonts w:ascii="Gt america" w:hAnsi="Gt america"/>
          <w:bCs/>
          <w:i/>
          <w:iCs/>
          <w:color w:val="365F91" w:themeColor="accent1" w:themeShade="BF"/>
        </w:rPr>
        <w:t xml:space="preserve">Suggested Resources: </w:t>
      </w:r>
      <w:r w:rsidRPr="00F45E5D">
        <w:rPr>
          <w:rFonts w:ascii="Gt america" w:hAnsi="Gt america"/>
          <w:bCs/>
          <w:color w:val="365F91" w:themeColor="accent1" w:themeShade="BF"/>
        </w:rPr>
        <w:t xml:space="preserve">Add “Gill Foundation” to Suggested Resources section. </w:t>
      </w:r>
    </w:p>
    <w:p w14:paraId="5F394BA1" w14:textId="77777777" w:rsidR="009059D6" w:rsidRPr="00F45E5D" w:rsidRDefault="009059D6" w:rsidP="005A785D">
      <w:pPr>
        <w:spacing w:after="0" w:line="240" w:lineRule="auto"/>
        <w:rPr>
          <w:rFonts w:ascii="Gt america" w:hAnsi="Gt america"/>
          <w:b/>
          <w:color w:val="365F91" w:themeColor="accent1" w:themeShade="BF"/>
          <w:highlight w:val="yellow"/>
          <w:u w:val="single"/>
        </w:rPr>
      </w:pPr>
    </w:p>
    <w:p w14:paraId="16771E65" w14:textId="600C322F" w:rsidR="00C23576" w:rsidRPr="00F45E5D" w:rsidRDefault="00C23576" w:rsidP="009059D6">
      <w:pPr>
        <w:pStyle w:val="HeadingThree"/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</w:pPr>
      <w:r w:rsidRPr="00F45E5D">
        <w:rPr>
          <w:rFonts w:ascii="Gt america" w:hAnsi="Gt america"/>
          <w:b/>
          <w:bCs/>
          <w:color w:val="365F91" w:themeColor="accent1" w:themeShade="BF"/>
          <w:sz w:val="22"/>
          <w:szCs w:val="22"/>
          <w:u w:val="none"/>
        </w:rPr>
        <w:t>E150 Unleash the Leader Within</w:t>
      </w:r>
    </w:p>
    <w:p w14:paraId="53E6D5D9" w14:textId="77777777" w:rsidR="00413278" w:rsidRPr="00F45E5D" w:rsidRDefault="00413278" w:rsidP="00413278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>Sub-bullet Change</w:t>
      </w:r>
      <w:r w:rsidRPr="00F45E5D">
        <w:rPr>
          <w:rFonts w:ascii="Gt america" w:hAnsi="Gt america"/>
          <w:color w:val="365F91" w:themeColor="accent1" w:themeShade="BF"/>
        </w:rPr>
        <w:t>:</w:t>
      </w:r>
      <w:r w:rsidR="009059D6" w:rsidRPr="00F45E5D">
        <w:rPr>
          <w:rFonts w:ascii="Gt america" w:hAnsi="Gt america"/>
          <w:bCs/>
          <w:i/>
          <w:iCs/>
          <w:color w:val="365F91" w:themeColor="accent1" w:themeShade="BF"/>
        </w:rPr>
        <w:t xml:space="preserve"> </w:t>
      </w:r>
      <w:r w:rsidRPr="00F45E5D">
        <w:rPr>
          <w:rFonts w:ascii="Gt america" w:hAnsi="Gt america"/>
          <w:color w:val="365F91" w:themeColor="accent1" w:themeShade="BF"/>
        </w:rPr>
        <w:t>The first course objective, first bullet-point was added to be, “Are you coachable?”</w:t>
      </w:r>
    </w:p>
    <w:p w14:paraId="539C77FD" w14:textId="472AF99C" w:rsidR="00413278" w:rsidRPr="00F45E5D" w:rsidRDefault="00413278" w:rsidP="00413278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>Sub-bullet Change</w:t>
      </w:r>
      <w:r w:rsidRPr="00F45E5D">
        <w:rPr>
          <w:rFonts w:ascii="Gt america" w:hAnsi="Gt america"/>
          <w:color w:val="365F91" w:themeColor="accent1" w:themeShade="BF"/>
        </w:rPr>
        <w:t>: The first course objective, second bullet-point was added to be, “Mentorship or coaching benefits.”</w:t>
      </w:r>
    </w:p>
    <w:p w14:paraId="3755DED6" w14:textId="1BC2DE95" w:rsidR="00413278" w:rsidRPr="00F45E5D" w:rsidRDefault="00413278" w:rsidP="00413278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 xml:space="preserve">Objective Change: </w:t>
      </w:r>
      <w:r w:rsidRPr="00F45E5D">
        <w:rPr>
          <w:rFonts w:ascii="Gt america" w:hAnsi="Gt america"/>
          <w:color w:val="365F91" w:themeColor="accent1" w:themeShade="BF"/>
        </w:rPr>
        <w:t xml:space="preserve">Course objective number two is now, “Leading through conflict </w:t>
      </w:r>
      <w:r w:rsidR="005800C0" w:rsidRPr="00F45E5D">
        <w:rPr>
          <w:rFonts w:ascii="Gt america" w:hAnsi="Gt america"/>
          <w:color w:val="365F91" w:themeColor="accent1" w:themeShade="BF"/>
        </w:rPr>
        <w:t>and/or</w:t>
      </w:r>
      <w:r w:rsidRPr="00F45E5D">
        <w:rPr>
          <w:rFonts w:ascii="Gt america" w:hAnsi="Gt america"/>
          <w:color w:val="365F91" w:themeColor="accent1" w:themeShade="BF"/>
        </w:rPr>
        <w:t xml:space="preserve"> change.”</w:t>
      </w:r>
    </w:p>
    <w:p w14:paraId="60C43E72" w14:textId="49FCDCCD" w:rsidR="00CF7316" w:rsidRPr="00F45E5D" w:rsidRDefault="00CF7316" w:rsidP="00CF7316">
      <w:pPr>
        <w:spacing w:after="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i/>
          <w:color w:val="365F91" w:themeColor="accent1" w:themeShade="BF"/>
        </w:rPr>
        <w:t>Sub-bullet Change</w:t>
      </w:r>
      <w:r w:rsidRPr="00F45E5D">
        <w:rPr>
          <w:rFonts w:ascii="Gt america" w:hAnsi="Gt america"/>
          <w:color w:val="365F91" w:themeColor="accent1" w:themeShade="BF"/>
        </w:rPr>
        <w:t>: The second course objective, first bullet-point is now, “Understanding your weaknesses and strengths.”</w:t>
      </w:r>
    </w:p>
    <w:p w14:paraId="3A399616" w14:textId="34B3F6F5" w:rsidR="00413278" w:rsidRPr="00F45E5D" w:rsidRDefault="00413278" w:rsidP="00413278">
      <w:pPr>
        <w:spacing w:after="0"/>
        <w:rPr>
          <w:rFonts w:ascii="Gt america" w:hAnsi="Gt america"/>
          <w:i/>
          <w:iCs/>
          <w:color w:val="365F91" w:themeColor="accent1" w:themeShade="BF"/>
        </w:rPr>
      </w:pPr>
    </w:p>
    <w:p w14:paraId="1F6585AC" w14:textId="4E3F91D9" w:rsidR="009059D6" w:rsidRPr="00F45E5D" w:rsidRDefault="009059D6" w:rsidP="00413278">
      <w:pPr>
        <w:spacing w:after="0"/>
        <w:rPr>
          <w:rFonts w:ascii="Gt america" w:hAnsi="Gt america"/>
          <w:bCs/>
          <w:i/>
          <w:iCs/>
          <w:color w:val="365F91" w:themeColor="accent1" w:themeShade="BF"/>
        </w:rPr>
      </w:pPr>
    </w:p>
    <w:p w14:paraId="6303933E" w14:textId="77777777" w:rsidR="009059D6" w:rsidRPr="00F45E5D" w:rsidRDefault="009059D6" w:rsidP="009059D6">
      <w:pPr>
        <w:spacing w:after="0" w:line="240" w:lineRule="auto"/>
        <w:rPr>
          <w:rFonts w:ascii="Gt america" w:hAnsi="Gt america"/>
          <w:bCs/>
          <w:i/>
          <w:iCs/>
          <w:color w:val="365F91" w:themeColor="accent1" w:themeShade="BF"/>
        </w:rPr>
      </w:pPr>
    </w:p>
    <w:p w14:paraId="547E250F" w14:textId="77777777" w:rsidR="009059D6" w:rsidRPr="00F45E5D" w:rsidRDefault="009059D6" w:rsidP="009059D6">
      <w:pPr>
        <w:pStyle w:val="HeadingThree"/>
        <w:rPr>
          <w:rFonts w:ascii="Gt america" w:hAnsi="Gt america"/>
          <w:color w:val="365F91" w:themeColor="accent1" w:themeShade="BF"/>
          <w:sz w:val="22"/>
          <w:szCs w:val="22"/>
          <w:u w:val="none"/>
        </w:rPr>
      </w:pPr>
    </w:p>
    <w:p w14:paraId="1ACED1C6" w14:textId="729398BD" w:rsidR="001E1DFD" w:rsidRPr="00F45E5D" w:rsidRDefault="008859A0" w:rsidP="009059D6">
      <w:pPr>
        <w:spacing w:after="0" w:line="240" w:lineRule="auto"/>
        <w:ind w:left="720"/>
        <w:rPr>
          <w:rFonts w:ascii="Gt america" w:hAnsi="Gt america"/>
          <w:color w:val="365F91" w:themeColor="accent1" w:themeShade="BF"/>
        </w:rPr>
      </w:pPr>
      <w:r w:rsidRPr="00F45E5D">
        <w:rPr>
          <w:rFonts w:ascii="Gt america" w:hAnsi="Gt america"/>
          <w:color w:val="365F91" w:themeColor="accent1" w:themeShade="BF"/>
        </w:rPr>
        <w:br/>
      </w:r>
    </w:p>
    <w:sectPr w:rsidR="001E1DFD" w:rsidRPr="00F45E5D" w:rsidSect="005C1E5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DE70" w14:textId="77777777" w:rsidR="00E12B1C" w:rsidRDefault="00E12B1C" w:rsidP="002A62A4">
      <w:pPr>
        <w:spacing w:after="0" w:line="240" w:lineRule="auto"/>
      </w:pPr>
      <w:r>
        <w:separator/>
      </w:r>
    </w:p>
  </w:endnote>
  <w:endnote w:type="continuationSeparator" w:id="0">
    <w:p w14:paraId="0244E1E5" w14:textId="77777777" w:rsidR="00E12B1C" w:rsidRDefault="00E12B1C" w:rsidP="002A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t americ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64876"/>
      <w:docPartObj>
        <w:docPartGallery w:val="Page Numbers (Bottom of Page)"/>
        <w:docPartUnique/>
      </w:docPartObj>
    </w:sdtPr>
    <w:sdtEndPr/>
    <w:sdtContent>
      <w:p w14:paraId="0722D867" w14:textId="77777777" w:rsidR="00E12B1C" w:rsidRDefault="00E12B1C">
        <w:pPr>
          <w:pStyle w:val="Footer"/>
          <w:jc w:val="center"/>
        </w:pPr>
        <w:r w:rsidRPr="004A1A56">
          <w:rPr>
            <w:rFonts w:ascii="Garamond" w:hAnsi="Garamond"/>
            <w:sz w:val="24"/>
            <w:szCs w:val="24"/>
          </w:rPr>
          <w:fldChar w:fldCharType="begin"/>
        </w:r>
        <w:r w:rsidRPr="004A1A56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4A1A56">
          <w:rPr>
            <w:rFonts w:ascii="Garamond" w:hAnsi="Garamond"/>
            <w:sz w:val="24"/>
            <w:szCs w:val="24"/>
          </w:rPr>
          <w:fldChar w:fldCharType="separate"/>
        </w:r>
        <w:r w:rsidR="006A62F1">
          <w:rPr>
            <w:rFonts w:ascii="Garamond" w:hAnsi="Garamond"/>
            <w:noProof/>
            <w:sz w:val="24"/>
            <w:szCs w:val="24"/>
          </w:rPr>
          <w:t>1</w:t>
        </w:r>
        <w:r w:rsidRPr="004A1A56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5ED4A65B" w14:textId="77777777" w:rsidR="00E12B1C" w:rsidRDefault="00E12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2607D" w14:textId="77777777" w:rsidR="00E12B1C" w:rsidRDefault="00E12B1C" w:rsidP="002A62A4">
      <w:pPr>
        <w:spacing w:after="0" w:line="240" w:lineRule="auto"/>
      </w:pPr>
      <w:r>
        <w:separator/>
      </w:r>
    </w:p>
  </w:footnote>
  <w:footnote w:type="continuationSeparator" w:id="0">
    <w:p w14:paraId="772A2D3A" w14:textId="77777777" w:rsidR="00E12B1C" w:rsidRDefault="00E12B1C" w:rsidP="002A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6C97" w14:textId="6FAE977D" w:rsidR="00E12B1C" w:rsidRDefault="00FD0CAC" w:rsidP="00FD0CAC">
    <w:pPr>
      <w:spacing w:after="0"/>
      <w:rPr>
        <w:rFonts w:ascii="Gt america" w:hAnsi="Gt america" w:hint="eastAsia"/>
        <w:b/>
        <w:bCs/>
        <w:color w:val="365F91" w:themeColor="accent1" w:themeShade="BF"/>
        <w:sz w:val="48"/>
        <w:szCs w:val="48"/>
      </w:rPr>
    </w:pPr>
    <w:r>
      <w:rPr>
        <w:noProof/>
      </w:rPr>
      <w:drawing>
        <wp:inline distT="0" distB="0" distL="0" distR="0" wp14:anchorId="5E974DB5" wp14:editId="6D8CEFD1">
          <wp:extent cx="5083629" cy="731586"/>
          <wp:effectExtent l="0" t="0" r="3175" b="0"/>
          <wp:docPr id="14" name="Picture 14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, applicati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07"/>
                  <a:stretch/>
                </pic:blipFill>
                <pic:spPr bwMode="auto">
                  <a:xfrm>
                    <a:off x="0" y="0"/>
                    <a:ext cx="5084088" cy="731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7F69531" w14:textId="0C4AD28A" w:rsidR="00FD0CAC" w:rsidRPr="00FD0CAC" w:rsidRDefault="00FD0CAC" w:rsidP="00FD0CAC">
    <w:pPr>
      <w:spacing w:after="0"/>
      <w:rPr>
        <w:rFonts w:ascii="Gt america" w:hAnsi="Gt america" w:hint="eastAsia"/>
        <w:b/>
        <w:bCs/>
        <w:color w:val="365F91" w:themeColor="accent1" w:themeShade="BF"/>
        <w:sz w:val="48"/>
        <w:szCs w:val="48"/>
      </w:rPr>
    </w:pPr>
    <w:r>
      <w:rPr>
        <w:rFonts w:ascii="Gt america" w:hAnsi="Gt america"/>
        <w:b/>
        <w:bCs/>
        <w:color w:val="365F91" w:themeColor="accent1" w:themeShade="BF"/>
        <w:sz w:val="48"/>
        <w:szCs w:val="48"/>
      </w:rPr>
      <w:t>CURRICULUM RECOMMENDATIONS</w:t>
    </w:r>
    <w:r>
      <w:rPr>
        <w:rFonts w:ascii="Gt america" w:hAnsi="Gt america"/>
        <w:b/>
        <w:bCs/>
        <w:color w:val="365F91" w:themeColor="accent1" w:themeShade="BF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0F8"/>
    <w:multiLevelType w:val="hybridMultilevel"/>
    <w:tmpl w:val="A2CC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61A"/>
    <w:multiLevelType w:val="hybridMultilevel"/>
    <w:tmpl w:val="87C6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D44"/>
    <w:multiLevelType w:val="hybridMultilevel"/>
    <w:tmpl w:val="2EACF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E5A"/>
    <w:multiLevelType w:val="hybridMultilevel"/>
    <w:tmpl w:val="85A8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2C2A"/>
    <w:multiLevelType w:val="hybridMultilevel"/>
    <w:tmpl w:val="7D0CB4F2"/>
    <w:lvl w:ilvl="0" w:tplc="EEA612DA">
      <w:start w:val="1"/>
      <w:numFmt w:val="bullet"/>
      <w:pStyle w:val="Bullet3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C0FB2C">
      <w:start w:val="1"/>
      <w:numFmt w:val="bullet"/>
      <w:pStyle w:val="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318"/>
    <w:multiLevelType w:val="hybridMultilevel"/>
    <w:tmpl w:val="5F6E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35249"/>
    <w:multiLevelType w:val="hybridMultilevel"/>
    <w:tmpl w:val="E50C8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7F4F20"/>
    <w:multiLevelType w:val="hybridMultilevel"/>
    <w:tmpl w:val="731A3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1F0D"/>
    <w:multiLevelType w:val="hybridMultilevel"/>
    <w:tmpl w:val="DABC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02967"/>
    <w:multiLevelType w:val="hybridMultilevel"/>
    <w:tmpl w:val="FFBA1A7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3AE7"/>
    <w:multiLevelType w:val="hybridMultilevel"/>
    <w:tmpl w:val="DEDC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D4713"/>
    <w:multiLevelType w:val="hybridMultilevel"/>
    <w:tmpl w:val="59A0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25AF2"/>
    <w:multiLevelType w:val="multilevel"/>
    <w:tmpl w:val="6450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857D77"/>
    <w:multiLevelType w:val="hybridMultilevel"/>
    <w:tmpl w:val="1E867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7A21A2"/>
    <w:multiLevelType w:val="hybridMultilevel"/>
    <w:tmpl w:val="DA8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C3E66"/>
    <w:multiLevelType w:val="hybridMultilevel"/>
    <w:tmpl w:val="FEDCD17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27DC1"/>
    <w:multiLevelType w:val="hybridMultilevel"/>
    <w:tmpl w:val="6600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07EDF"/>
    <w:multiLevelType w:val="hybridMultilevel"/>
    <w:tmpl w:val="E7A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B7495"/>
    <w:multiLevelType w:val="hybridMultilevel"/>
    <w:tmpl w:val="9620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E41E1"/>
    <w:multiLevelType w:val="hybridMultilevel"/>
    <w:tmpl w:val="94A4FB02"/>
    <w:lvl w:ilvl="0" w:tplc="DC30A60E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124F08"/>
    <w:multiLevelType w:val="hybridMultilevel"/>
    <w:tmpl w:val="399C7D1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5721C"/>
    <w:multiLevelType w:val="hybridMultilevel"/>
    <w:tmpl w:val="E5E2B0AA"/>
    <w:lvl w:ilvl="0" w:tplc="4244BB5E">
      <w:start w:val="1"/>
      <w:numFmt w:val="bullet"/>
      <w:pStyle w:val="Bullet1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54656"/>
    <w:multiLevelType w:val="hybridMultilevel"/>
    <w:tmpl w:val="3C98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51D92"/>
    <w:multiLevelType w:val="hybridMultilevel"/>
    <w:tmpl w:val="4B26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13739"/>
    <w:multiLevelType w:val="hybridMultilevel"/>
    <w:tmpl w:val="65BA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9036D"/>
    <w:multiLevelType w:val="hybridMultilevel"/>
    <w:tmpl w:val="4BC07E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5E42DC"/>
    <w:multiLevelType w:val="hybridMultilevel"/>
    <w:tmpl w:val="4DB6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140BC"/>
    <w:multiLevelType w:val="hybridMultilevel"/>
    <w:tmpl w:val="684C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96A29"/>
    <w:multiLevelType w:val="hybridMultilevel"/>
    <w:tmpl w:val="F658428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04ABE"/>
    <w:multiLevelType w:val="hybridMultilevel"/>
    <w:tmpl w:val="43104D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6401E1E"/>
    <w:multiLevelType w:val="hybridMultilevel"/>
    <w:tmpl w:val="51C697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5A316D"/>
    <w:multiLevelType w:val="hybridMultilevel"/>
    <w:tmpl w:val="C4C696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F40C8"/>
    <w:multiLevelType w:val="hybridMultilevel"/>
    <w:tmpl w:val="00D095D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F39F7"/>
    <w:multiLevelType w:val="hybridMultilevel"/>
    <w:tmpl w:val="4008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17566"/>
    <w:multiLevelType w:val="hybridMultilevel"/>
    <w:tmpl w:val="3230DF2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E3723"/>
    <w:multiLevelType w:val="hybridMultilevel"/>
    <w:tmpl w:val="4008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507D9"/>
    <w:multiLevelType w:val="hybridMultilevel"/>
    <w:tmpl w:val="FEDCD17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36077"/>
    <w:multiLevelType w:val="hybridMultilevel"/>
    <w:tmpl w:val="DC4A8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079E6"/>
    <w:multiLevelType w:val="hybridMultilevel"/>
    <w:tmpl w:val="7B389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1A540A"/>
    <w:multiLevelType w:val="hybridMultilevel"/>
    <w:tmpl w:val="94ECC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945AB9"/>
    <w:multiLevelType w:val="hybridMultilevel"/>
    <w:tmpl w:val="7FEE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C3211"/>
    <w:multiLevelType w:val="hybridMultilevel"/>
    <w:tmpl w:val="E31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E0578"/>
    <w:multiLevelType w:val="hybridMultilevel"/>
    <w:tmpl w:val="E89A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80D9A"/>
    <w:multiLevelType w:val="hybridMultilevel"/>
    <w:tmpl w:val="ECAE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81A50"/>
    <w:multiLevelType w:val="hybridMultilevel"/>
    <w:tmpl w:val="5B52DD3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20F50"/>
    <w:multiLevelType w:val="hybridMultilevel"/>
    <w:tmpl w:val="37BC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0D1E5C"/>
    <w:multiLevelType w:val="hybridMultilevel"/>
    <w:tmpl w:val="68FE32D6"/>
    <w:lvl w:ilvl="0" w:tplc="7324C782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</w:rPr>
    </w:lvl>
    <w:lvl w:ilvl="1" w:tplc="3872C80A">
      <w:start w:val="1"/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100"/>
      </w:rPr>
    </w:lvl>
    <w:lvl w:ilvl="2" w:tplc="E488EC2E">
      <w:start w:val="1"/>
      <w:numFmt w:val="bullet"/>
      <w:lvlText w:val=""/>
      <w:lvlJc w:val="left"/>
      <w:pPr>
        <w:ind w:left="26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5504D75E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B4DAC1C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5" w:tplc="95B0ECAC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6" w:tplc="2050255E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7" w:tplc="118C7480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8" w:tplc="C178A216">
      <w:start w:val="1"/>
      <w:numFmt w:val="bullet"/>
      <w:lvlText w:val="•"/>
      <w:lvlJc w:val="left"/>
      <w:pPr>
        <w:ind w:left="6870" w:hanging="3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33"/>
  </w:num>
  <w:num w:numId="5">
    <w:abstractNumId w:val="17"/>
  </w:num>
  <w:num w:numId="6">
    <w:abstractNumId w:val="10"/>
  </w:num>
  <w:num w:numId="7">
    <w:abstractNumId w:val="26"/>
  </w:num>
  <w:num w:numId="8">
    <w:abstractNumId w:val="20"/>
  </w:num>
  <w:num w:numId="9">
    <w:abstractNumId w:val="5"/>
  </w:num>
  <w:num w:numId="10">
    <w:abstractNumId w:val="15"/>
  </w:num>
  <w:num w:numId="11">
    <w:abstractNumId w:val="36"/>
  </w:num>
  <w:num w:numId="12">
    <w:abstractNumId w:val="0"/>
  </w:num>
  <w:num w:numId="13">
    <w:abstractNumId w:val="27"/>
  </w:num>
  <w:num w:numId="14">
    <w:abstractNumId w:val="16"/>
  </w:num>
  <w:num w:numId="15">
    <w:abstractNumId w:val="40"/>
  </w:num>
  <w:num w:numId="16">
    <w:abstractNumId w:val="6"/>
  </w:num>
  <w:num w:numId="17">
    <w:abstractNumId w:val="23"/>
  </w:num>
  <w:num w:numId="18">
    <w:abstractNumId w:val="8"/>
  </w:num>
  <w:num w:numId="19">
    <w:abstractNumId w:val="41"/>
  </w:num>
  <w:num w:numId="20">
    <w:abstractNumId w:val="14"/>
  </w:num>
  <w:num w:numId="21">
    <w:abstractNumId w:val="3"/>
  </w:num>
  <w:num w:numId="22">
    <w:abstractNumId w:val="31"/>
  </w:num>
  <w:num w:numId="23">
    <w:abstractNumId w:val="24"/>
  </w:num>
  <w:num w:numId="24">
    <w:abstractNumId w:val="30"/>
  </w:num>
  <w:num w:numId="25">
    <w:abstractNumId w:val="45"/>
  </w:num>
  <w:num w:numId="26">
    <w:abstractNumId w:val="13"/>
  </w:num>
  <w:num w:numId="27">
    <w:abstractNumId w:val="18"/>
  </w:num>
  <w:num w:numId="28">
    <w:abstractNumId w:val="39"/>
  </w:num>
  <w:num w:numId="29">
    <w:abstractNumId w:val="11"/>
  </w:num>
  <w:num w:numId="30">
    <w:abstractNumId w:val="25"/>
  </w:num>
  <w:num w:numId="31">
    <w:abstractNumId w:val="42"/>
  </w:num>
  <w:num w:numId="32">
    <w:abstractNumId w:val="38"/>
  </w:num>
  <w:num w:numId="33">
    <w:abstractNumId w:val="2"/>
  </w:num>
  <w:num w:numId="34">
    <w:abstractNumId w:val="7"/>
  </w:num>
  <w:num w:numId="35">
    <w:abstractNumId w:val="9"/>
  </w:num>
  <w:num w:numId="36">
    <w:abstractNumId w:val="44"/>
  </w:num>
  <w:num w:numId="37">
    <w:abstractNumId w:val="28"/>
  </w:num>
  <w:num w:numId="38">
    <w:abstractNumId w:val="43"/>
  </w:num>
  <w:num w:numId="39">
    <w:abstractNumId w:val="34"/>
  </w:num>
  <w:num w:numId="40">
    <w:abstractNumId w:val="32"/>
  </w:num>
  <w:num w:numId="41">
    <w:abstractNumId w:val="35"/>
  </w:num>
  <w:num w:numId="42">
    <w:abstractNumId w:val="46"/>
  </w:num>
  <w:num w:numId="43">
    <w:abstractNumId w:val="29"/>
  </w:num>
  <w:num w:numId="44">
    <w:abstractNumId w:val="12"/>
  </w:num>
  <w:num w:numId="45">
    <w:abstractNumId w:val="37"/>
  </w:num>
  <w:num w:numId="46">
    <w:abstractNumId w:val="22"/>
  </w:num>
  <w:num w:numId="47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A4"/>
    <w:rsid w:val="00011743"/>
    <w:rsid w:val="00014184"/>
    <w:rsid w:val="00020CEC"/>
    <w:rsid w:val="000252BF"/>
    <w:rsid w:val="00026558"/>
    <w:rsid w:val="00032B22"/>
    <w:rsid w:val="00033F3C"/>
    <w:rsid w:val="00044C4A"/>
    <w:rsid w:val="00047F68"/>
    <w:rsid w:val="000500D1"/>
    <w:rsid w:val="000526C1"/>
    <w:rsid w:val="00053AE5"/>
    <w:rsid w:val="00057396"/>
    <w:rsid w:val="000633B0"/>
    <w:rsid w:val="00081C15"/>
    <w:rsid w:val="00087A2E"/>
    <w:rsid w:val="000967DD"/>
    <w:rsid w:val="000A5F93"/>
    <w:rsid w:val="000B3E23"/>
    <w:rsid w:val="000B3E2A"/>
    <w:rsid w:val="000B43DF"/>
    <w:rsid w:val="000C2FAD"/>
    <w:rsid w:val="000C4481"/>
    <w:rsid w:val="000C7C95"/>
    <w:rsid w:val="000D1CEB"/>
    <w:rsid w:val="000E7C57"/>
    <w:rsid w:val="000F0842"/>
    <w:rsid w:val="00100DC0"/>
    <w:rsid w:val="00110E81"/>
    <w:rsid w:val="001167B2"/>
    <w:rsid w:val="00117F6B"/>
    <w:rsid w:val="001273EC"/>
    <w:rsid w:val="00137164"/>
    <w:rsid w:val="0015764C"/>
    <w:rsid w:val="00160473"/>
    <w:rsid w:val="00176E21"/>
    <w:rsid w:val="00182FEE"/>
    <w:rsid w:val="0018570B"/>
    <w:rsid w:val="001E1DFD"/>
    <w:rsid w:val="001E54C6"/>
    <w:rsid w:val="0023739A"/>
    <w:rsid w:val="00245C93"/>
    <w:rsid w:val="002539C7"/>
    <w:rsid w:val="002A62A4"/>
    <w:rsid w:val="002B357C"/>
    <w:rsid w:val="002B54FD"/>
    <w:rsid w:val="002B632D"/>
    <w:rsid w:val="002C474C"/>
    <w:rsid w:val="002D12A9"/>
    <w:rsid w:val="002D564F"/>
    <w:rsid w:val="002F02DD"/>
    <w:rsid w:val="002F07BB"/>
    <w:rsid w:val="002F7BE5"/>
    <w:rsid w:val="003022B1"/>
    <w:rsid w:val="003060FB"/>
    <w:rsid w:val="003075D3"/>
    <w:rsid w:val="00314D63"/>
    <w:rsid w:val="00314DB5"/>
    <w:rsid w:val="00316A6B"/>
    <w:rsid w:val="00323826"/>
    <w:rsid w:val="003448CF"/>
    <w:rsid w:val="00353F29"/>
    <w:rsid w:val="003575E7"/>
    <w:rsid w:val="00367F9B"/>
    <w:rsid w:val="00375B35"/>
    <w:rsid w:val="00383AAD"/>
    <w:rsid w:val="0038764E"/>
    <w:rsid w:val="00396E2F"/>
    <w:rsid w:val="003A6F59"/>
    <w:rsid w:val="003B44C3"/>
    <w:rsid w:val="003B5B7C"/>
    <w:rsid w:val="003E2E8D"/>
    <w:rsid w:val="003F3E76"/>
    <w:rsid w:val="004007EC"/>
    <w:rsid w:val="0040401C"/>
    <w:rsid w:val="00411BBC"/>
    <w:rsid w:val="00413278"/>
    <w:rsid w:val="00422488"/>
    <w:rsid w:val="00431111"/>
    <w:rsid w:val="004417C3"/>
    <w:rsid w:val="0044350B"/>
    <w:rsid w:val="004530C4"/>
    <w:rsid w:val="00455167"/>
    <w:rsid w:val="00482C2C"/>
    <w:rsid w:val="00486355"/>
    <w:rsid w:val="00486A68"/>
    <w:rsid w:val="0049708E"/>
    <w:rsid w:val="004A1A56"/>
    <w:rsid w:val="004B4580"/>
    <w:rsid w:val="004B7C1D"/>
    <w:rsid w:val="004C488F"/>
    <w:rsid w:val="004C4F85"/>
    <w:rsid w:val="004D1695"/>
    <w:rsid w:val="004F69A5"/>
    <w:rsid w:val="00502E10"/>
    <w:rsid w:val="00511156"/>
    <w:rsid w:val="005119C4"/>
    <w:rsid w:val="0051423D"/>
    <w:rsid w:val="0052418B"/>
    <w:rsid w:val="00525585"/>
    <w:rsid w:val="00527D1B"/>
    <w:rsid w:val="005608E7"/>
    <w:rsid w:val="005722CB"/>
    <w:rsid w:val="005800C0"/>
    <w:rsid w:val="00581FF8"/>
    <w:rsid w:val="00586F45"/>
    <w:rsid w:val="00593F6B"/>
    <w:rsid w:val="005A2385"/>
    <w:rsid w:val="005A253C"/>
    <w:rsid w:val="005A785D"/>
    <w:rsid w:val="005A7C7D"/>
    <w:rsid w:val="005B148D"/>
    <w:rsid w:val="005B21B3"/>
    <w:rsid w:val="005C1E53"/>
    <w:rsid w:val="005D2C71"/>
    <w:rsid w:val="005D548D"/>
    <w:rsid w:val="005E4FA2"/>
    <w:rsid w:val="006300CD"/>
    <w:rsid w:val="00640C10"/>
    <w:rsid w:val="006521DB"/>
    <w:rsid w:val="0065315F"/>
    <w:rsid w:val="00655FE9"/>
    <w:rsid w:val="0068007D"/>
    <w:rsid w:val="006871B0"/>
    <w:rsid w:val="006A1095"/>
    <w:rsid w:val="006A62F1"/>
    <w:rsid w:val="006C3A6F"/>
    <w:rsid w:val="006C797B"/>
    <w:rsid w:val="006C7F4B"/>
    <w:rsid w:val="006D3977"/>
    <w:rsid w:val="006E15FD"/>
    <w:rsid w:val="006F656F"/>
    <w:rsid w:val="00700FAA"/>
    <w:rsid w:val="00720660"/>
    <w:rsid w:val="00721DF0"/>
    <w:rsid w:val="007220A2"/>
    <w:rsid w:val="007262AB"/>
    <w:rsid w:val="00727136"/>
    <w:rsid w:val="007302FB"/>
    <w:rsid w:val="00731BD1"/>
    <w:rsid w:val="00743CD2"/>
    <w:rsid w:val="0074597D"/>
    <w:rsid w:val="00752789"/>
    <w:rsid w:val="0075289D"/>
    <w:rsid w:val="007608BC"/>
    <w:rsid w:val="00767F75"/>
    <w:rsid w:val="00775FFB"/>
    <w:rsid w:val="0077737E"/>
    <w:rsid w:val="00781B12"/>
    <w:rsid w:val="00784CA1"/>
    <w:rsid w:val="0079064C"/>
    <w:rsid w:val="007A19A1"/>
    <w:rsid w:val="007A7E68"/>
    <w:rsid w:val="007B108D"/>
    <w:rsid w:val="007F1C64"/>
    <w:rsid w:val="007F4790"/>
    <w:rsid w:val="00820CF3"/>
    <w:rsid w:val="008215F1"/>
    <w:rsid w:val="00822122"/>
    <w:rsid w:val="00842DFB"/>
    <w:rsid w:val="00844AFE"/>
    <w:rsid w:val="00861392"/>
    <w:rsid w:val="008616E0"/>
    <w:rsid w:val="00864238"/>
    <w:rsid w:val="008667BB"/>
    <w:rsid w:val="00874063"/>
    <w:rsid w:val="00874A76"/>
    <w:rsid w:val="00874E1E"/>
    <w:rsid w:val="0087508C"/>
    <w:rsid w:val="00875A6F"/>
    <w:rsid w:val="008859A0"/>
    <w:rsid w:val="008A2D3C"/>
    <w:rsid w:val="008A6F90"/>
    <w:rsid w:val="008B54D0"/>
    <w:rsid w:val="008B6B07"/>
    <w:rsid w:val="008C275D"/>
    <w:rsid w:val="008C341D"/>
    <w:rsid w:val="008C5B4E"/>
    <w:rsid w:val="008E7C9A"/>
    <w:rsid w:val="008F3DF2"/>
    <w:rsid w:val="009059D6"/>
    <w:rsid w:val="00910912"/>
    <w:rsid w:val="009262C5"/>
    <w:rsid w:val="00934258"/>
    <w:rsid w:val="00937406"/>
    <w:rsid w:val="009459A4"/>
    <w:rsid w:val="009509D8"/>
    <w:rsid w:val="00951CB0"/>
    <w:rsid w:val="009566CC"/>
    <w:rsid w:val="00991F96"/>
    <w:rsid w:val="009A2063"/>
    <w:rsid w:val="009A5DE0"/>
    <w:rsid w:val="009A76A4"/>
    <w:rsid w:val="009A7765"/>
    <w:rsid w:val="009B1F0D"/>
    <w:rsid w:val="009B37CD"/>
    <w:rsid w:val="009C3028"/>
    <w:rsid w:val="009D39C4"/>
    <w:rsid w:val="009D7988"/>
    <w:rsid w:val="009E7F06"/>
    <w:rsid w:val="00A04D3C"/>
    <w:rsid w:val="00A174E8"/>
    <w:rsid w:val="00A47165"/>
    <w:rsid w:val="00A62874"/>
    <w:rsid w:val="00A6640F"/>
    <w:rsid w:val="00A7219F"/>
    <w:rsid w:val="00A75783"/>
    <w:rsid w:val="00A80D27"/>
    <w:rsid w:val="00A97306"/>
    <w:rsid w:val="00AA577A"/>
    <w:rsid w:val="00AC2801"/>
    <w:rsid w:val="00AC72B6"/>
    <w:rsid w:val="00AF210C"/>
    <w:rsid w:val="00AF3261"/>
    <w:rsid w:val="00B164B7"/>
    <w:rsid w:val="00B2102F"/>
    <w:rsid w:val="00B21F7D"/>
    <w:rsid w:val="00B2464C"/>
    <w:rsid w:val="00B2632D"/>
    <w:rsid w:val="00B603FC"/>
    <w:rsid w:val="00B74986"/>
    <w:rsid w:val="00B915C6"/>
    <w:rsid w:val="00B95D9D"/>
    <w:rsid w:val="00BA223E"/>
    <w:rsid w:val="00BA4D1D"/>
    <w:rsid w:val="00BB4395"/>
    <w:rsid w:val="00BC3879"/>
    <w:rsid w:val="00BC53A6"/>
    <w:rsid w:val="00BD6687"/>
    <w:rsid w:val="00BE7732"/>
    <w:rsid w:val="00BF0144"/>
    <w:rsid w:val="00BF197F"/>
    <w:rsid w:val="00BF2997"/>
    <w:rsid w:val="00C0689E"/>
    <w:rsid w:val="00C12018"/>
    <w:rsid w:val="00C2194D"/>
    <w:rsid w:val="00C21B60"/>
    <w:rsid w:val="00C2338B"/>
    <w:rsid w:val="00C23576"/>
    <w:rsid w:val="00C35F16"/>
    <w:rsid w:val="00C41753"/>
    <w:rsid w:val="00C42A83"/>
    <w:rsid w:val="00C6059A"/>
    <w:rsid w:val="00C61D7A"/>
    <w:rsid w:val="00C65EA5"/>
    <w:rsid w:val="00C71041"/>
    <w:rsid w:val="00C8673F"/>
    <w:rsid w:val="00CA6743"/>
    <w:rsid w:val="00CB05EE"/>
    <w:rsid w:val="00CC436C"/>
    <w:rsid w:val="00CD4918"/>
    <w:rsid w:val="00CE3B88"/>
    <w:rsid w:val="00CF5BB0"/>
    <w:rsid w:val="00CF7316"/>
    <w:rsid w:val="00D17A90"/>
    <w:rsid w:val="00D20C73"/>
    <w:rsid w:val="00D22263"/>
    <w:rsid w:val="00D400A7"/>
    <w:rsid w:val="00D43266"/>
    <w:rsid w:val="00D51D5E"/>
    <w:rsid w:val="00D52D91"/>
    <w:rsid w:val="00D540C6"/>
    <w:rsid w:val="00D55306"/>
    <w:rsid w:val="00D60F31"/>
    <w:rsid w:val="00D6266A"/>
    <w:rsid w:val="00D65043"/>
    <w:rsid w:val="00D775B0"/>
    <w:rsid w:val="00D77A99"/>
    <w:rsid w:val="00D80710"/>
    <w:rsid w:val="00D81572"/>
    <w:rsid w:val="00D83E60"/>
    <w:rsid w:val="00D85EC3"/>
    <w:rsid w:val="00DB14F0"/>
    <w:rsid w:val="00DB741A"/>
    <w:rsid w:val="00DB768A"/>
    <w:rsid w:val="00DC76BF"/>
    <w:rsid w:val="00DE02DF"/>
    <w:rsid w:val="00DE3B58"/>
    <w:rsid w:val="00DE462C"/>
    <w:rsid w:val="00DF2357"/>
    <w:rsid w:val="00DF57DF"/>
    <w:rsid w:val="00E000B9"/>
    <w:rsid w:val="00E11D24"/>
    <w:rsid w:val="00E12B1C"/>
    <w:rsid w:val="00E2000B"/>
    <w:rsid w:val="00E262EC"/>
    <w:rsid w:val="00E37619"/>
    <w:rsid w:val="00E408A8"/>
    <w:rsid w:val="00E45448"/>
    <w:rsid w:val="00E53D1F"/>
    <w:rsid w:val="00E558B8"/>
    <w:rsid w:val="00E62397"/>
    <w:rsid w:val="00E63F8D"/>
    <w:rsid w:val="00E65254"/>
    <w:rsid w:val="00E679D4"/>
    <w:rsid w:val="00E70DA0"/>
    <w:rsid w:val="00E75D5D"/>
    <w:rsid w:val="00E851A3"/>
    <w:rsid w:val="00E935EB"/>
    <w:rsid w:val="00E963BC"/>
    <w:rsid w:val="00E969C7"/>
    <w:rsid w:val="00EA1C67"/>
    <w:rsid w:val="00EA37DE"/>
    <w:rsid w:val="00EB0759"/>
    <w:rsid w:val="00EC7504"/>
    <w:rsid w:val="00ED20C4"/>
    <w:rsid w:val="00ED5E5F"/>
    <w:rsid w:val="00EE034B"/>
    <w:rsid w:val="00EE52E8"/>
    <w:rsid w:val="00EF0E07"/>
    <w:rsid w:val="00EF6E47"/>
    <w:rsid w:val="00F05B65"/>
    <w:rsid w:val="00F067D5"/>
    <w:rsid w:val="00F118E0"/>
    <w:rsid w:val="00F20A60"/>
    <w:rsid w:val="00F24127"/>
    <w:rsid w:val="00F2722B"/>
    <w:rsid w:val="00F27875"/>
    <w:rsid w:val="00F41ADB"/>
    <w:rsid w:val="00F4283C"/>
    <w:rsid w:val="00F45E5D"/>
    <w:rsid w:val="00F4635B"/>
    <w:rsid w:val="00F53539"/>
    <w:rsid w:val="00F55845"/>
    <w:rsid w:val="00F765D7"/>
    <w:rsid w:val="00F85E7D"/>
    <w:rsid w:val="00F86080"/>
    <w:rsid w:val="00F943D4"/>
    <w:rsid w:val="00FC2289"/>
    <w:rsid w:val="00FC671B"/>
    <w:rsid w:val="00FC76F7"/>
    <w:rsid w:val="00FD0B14"/>
    <w:rsid w:val="00FD0CAC"/>
    <w:rsid w:val="00FD3BD5"/>
    <w:rsid w:val="00FD63AE"/>
    <w:rsid w:val="00FE20B9"/>
    <w:rsid w:val="00FE383F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30D0103E"/>
  <w15:docId w15:val="{5D2A9DA0-3F71-46DE-AA08-7B57AE0C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16"/>
  </w:style>
  <w:style w:type="paragraph" w:styleId="Heading1">
    <w:name w:val="heading 1"/>
    <w:basedOn w:val="Normal"/>
    <w:next w:val="Normal"/>
    <w:link w:val="Heading1Char"/>
    <w:uiPriority w:val="9"/>
    <w:qFormat/>
    <w:rsid w:val="005C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9459A4"/>
    <w:pPr>
      <w:widowControl w:val="0"/>
      <w:spacing w:after="0" w:line="240" w:lineRule="auto"/>
      <w:ind w:left="860" w:hanging="360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A4"/>
  </w:style>
  <w:style w:type="paragraph" w:styleId="Footer">
    <w:name w:val="footer"/>
    <w:basedOn w:val="Normal"/>
    <w:link w:val="FooterChar"/>
    <w:uiPriority w:val="99"/>
    <w:unhideWhenUsed/>
    <w:rsid w:val="002A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A4"/>
  </w:style>
  <w:style w:type="paragraph" w:styleId="BalloonText">
    <w:name w:val="Balloon Text"/>
    <w:basedOn w:val="Normal"/>
    <w:link w:val="BalloonTextChar"/>
    <w:uiPriority w:val="99"/>
    <w:semiHidden/>
    <w:unhideWhenUsed/>
    <w:rsid w:val="002A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5F1"/>
    <w:pPr>
      <w:ind w:left="720"/>
      <w:contextualSpacing/>
    </w:pPr>
  </w:style>
  <w:style w:type="paragraph" w:customStyle="1" w:styleId="Body">
    <w:name w:val="Body"/>
    <w:basedOn w:val="Normal"/>
    <w:link w:val="BodyChar"/>
    <w:rsid w:val="005D548D"/>
    <w:pPr>
      <w:spacing w:after="24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HeadingThree">
    <w:name w:val="Heading Three"/>
    <w:basedOn w:val="Normal"/>
    <w:next w:val="Body"/>
    <w:link w:val="HeadingThreeChar"/>
    <w:rsid w:val="005D548D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BodyChar">
    <w:name w:val="Body Char"/>
    <w:basedOn w:val="DefaultParagraphFont"/>
    <w:link w:val="Body"/>
    <w:rsid w:val="005D548D"/>
    <w:rPr>
      <w:rFonts w:ascii="Arial" w:eastAsia="Times New Roman" w:hAnsi="Arial" w:cs="Times New Roman"/>
      <w:sz w:val="20"/>
      <w:szCs w:val="24"/>
    </w:rPr>
  </w:style>
  <w:style w:type="character" w:customStyle="1" w:styleId="HeadingThreeChar">
    <w:name w:val="Heading Three Char"/>
    <w:basedOn w:val="DefaultParagraphFont"/>
    <w:link w:val="HeadingThree"/>
    <w:rsid w:val="005D548D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bullet20">
    <w:name w:val="bullet2"/>
    <w:basedOn w:val="Normal"/>
    <w:rsid w:val="005D548D"/>
    <w:pPr>
      <w:tabs>
        <w:tab w:val="num" w:pos="360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ullet1">
    <w:name w:val="Bullet 1"/>
    <w:basedOn w:val="Body"/>
    <w:next w:val="Normal"/>
    <w:link w:val="Bullet1Char"/>
    <w:rsid w:val="001167B2"/>
    <w:pPr>
      <w:numPr>
        <w:numId w:val="3"/>
      </w:numPr>
      <w:tabs>
        <w:tab w:val="clear" w:pos="810"/>
        <w:tab w:val="num" w:pos="720"/>
      </w:tabs>
      <w:spacing w:after="0"/>
      <w:ind w:left="720"/>
    </w:pPr>
  </w:style>
  <w:style w:type="paragraph" w:customStyle="1" w:styleId="Bullet2">
    <w:name w:val="Bullet 2"/>
    <w:basedOn w:val="Bullet1"/>
    <w:next w:val="Normal"/>
    <w:link w:val="Bullet2Char"/>
    <w:rsid w:val="001167B2"/>
    <w:pPr>
      <w:numPr>
        <w:numId w:val="2"/>
      </w:numPr>
    </w:pPr>
  </w:style>
  <w:style w:type="paragraph" w:customStyle="1" w:styleId="Bullet3">
    <w:name w:val="Bullet 3"/>
    <w:basedOn w:val="Bullet1"/>
    <w:next w:val="Normal"/>
    <w:rsid w:val="001167B2"/>
    <w:pPr>
      <w:numPr>
        <w:ilvl w:val="2"/>
        <w:numId w:val="1"/>
      </w:numPr>
      <w:tabs>
        <w:tab w:val="clear" w:pos="2160"/>
        <w:tab w:val="num" w:pos="360"/>
        <w:tab w:val="num" w:pos="1800"/>
      </w:tabs>
    </w:pPr>
    <w:rPr>
      <w:rFonts w:cs="Arial"/>
      <w:szCs w:val="20"/>
    </w:rPr>
  </w:style>
  <w:style w:type="paragraph" w:customStyle="1" w:styleId="Bullet1-CO">
    <w:name w:val="Bullet 1 - CO"/>
    <w:basedOn w:val="Bullet1"/>
    <w:next w:val="Normal"/>
    <w:link w:val="Bullet1-COChar"/>
    <w:rsid w:val="001167B2"/>
    <w:rPr>
      <w:b/>
    </w:rPr>
  </w:style>
  <w:style w:type="character" w:customStyle="1" w:styleId="Bullet2Char">
    <w:name w:val="Bullet 2 Char"/>
    <w:basedOn w:val="DefaultParagraphFont"/>
    <w:link w:val="Bullet2"/>
    <w:rsid w:val="001167B2"/>
    <w:rPr>
      <w:rFonts w:ascii="Arial" w:eastAsia="Times New Roman" w:hAnsi="Arial" w:cs="Times New Roman"/>
      <w:sz w:val="20"/>
      <w:szCs w:val="24"/>
    </w:rPr>
  </w:style>
  <w:style w:type="character" w:customStyle="1" w:styleId="Bullet1-COChar">
    <w:name w:val="Bullet 1 - CO Char"/>
    <w:basedOn w:val="DefaultParagraphFont"/>
    <w:link w:val="Bullet1-CO"/>
    <w:rsid w:val="001167B2"/>
    <w:rPr>
      <w:rFonts w:ascii="Arial" w:eastAsia="Times New Roman" w:hAnsi="Arial" w:cs="Times New Roman"/>
      <w:b/>
      <w:sz w:val="20"/>
      <w:szCs w:val="24"/>
    </w:rPr>
  </w:style>
  <w:style w:type="paragraph" w:customStyle="1" w:styleId="HeadingTwo">
    <w:name w:val="Heading Two"/>
    <w:basedOn w:val="Normal"/>
    <w:next w:val="Body"/>
    <w:rsid w:val="008616E0"/>
    <w:pPr>
      <w:pBdr>
        <w:top w:val="single" w:sz="4" w:space="1" w:color="auto"/>
        <w:bottom w:val="single" w:sz="4" w:space="1" w:color="auto"/>
      </w:pBdr>
      <w:spacing w:after="240" w:line="240" w:lineRule="auto"/>
      <w:jc w:val="center"/>
    </w:pPr>
    <w:rPr>
      <w:rFonts w:ascii="Lucida Sans" w:eastAsia="Times New Roman" w:hAnsi="Lucida Sans" w:cs="Times New Roman"/>
      <w:b/>
      <w:sz w:val="28"/>
      <w:szCs w:val="24"/>
    </w:rPr>
  </w:style>
  <w:style w:type="character" w:customStyle="1" w:styleId="Bullet1Char">
    <w:name w:val="Bullet 1 Char"/>
    <w:basedOn w:val="BodyChar"/>
    <w:link w:val="Bullet1"/>
    <w:rsid w:val="003E2E8D"/>
    <w:rPr>
      <w:rFonts w:ascii="Arial" w:eastAsia="Times New Roman" w:hAnsi="Arial" w:cs="Times New Roman"/>
      <w:sz w:val="20"/>
      <w:szCs w:val="24"/>
    </w:rPr>
  </w:style>
  <w:style w:type="character" w:styleId="BookTitle">
    <w:name w:val="Book Title"/>
    <w:basedOn w:val="DefaultParagraphFont"/>
    <w:uiPriority w:val="33"/>
    <w:qFormat/>
    <w:rsid w:val="000252BF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9459A4"/>
    <w:pPr>
      <w:widowControl w:val="0"/>
      <w:spacing w:after="0" w:line="240" w:lineRule="auto"/>
      <w:ind w:left="1580"/>
    </w:pPr>
    <w:rPr>
      <w:rFonts w:ascii="Garamond" w:eastAsia="Garamond" w:hAnsi="Garamond" w:cs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59A4"/>
    <w:rPr>
      <w:rFonts w:ascii="Garamond" w:eastAsia="Garamond" w:hAnsi="Garamond" w:cs="Garamon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9459A4"/>
    <w:rPr>
      <w:rFonts w:ascii="Garamond" w:eastAsia="Garamond" w:hAnsi="Garamond" w:cs="Garamond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1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859D0-0B33-4C87-B18A-F28BAD3F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Chamber of Commerce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rjfinley</dc:creator>
  <cp:lastModifiedBy>Francisco, Cecilly</cp:lastModifiedBy>
  <cp:revision>9</cp:revision>
  <cp:lastPrinted>2022-10-24T21:55:00Z</cp:lastPrinted>
  <dcterms:created xsi:type="dcterms:W3CDTF">2022-10-20T18:23:00Z</dcterms:created>
  <dcterms:modified xsi:type="dcterms:W3CDTF">2022-10-25T11:43:00Z</dcterms:modified>
</cp:coreProperties>
</file>